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FDF20" w14:textId="6EF4C7D2" w:rsidR="00384457" w:rsidRPr="00384457" w:rsidRDefault="00384457" w:rsidP="00021C17">
      <w:pPr>
        <w:autoSpaceDE w:val="0"/>
        <w:autoSpaceDN w:val="0"/>
        <w:adjustRightInd w:val="0"/>
        <w:ind w:left="0" w:firstLine="0"/>
        <w:rPr>
          <w:rFonts w:eastAsiaTheme="minorEastAsia" w:cs="Arial"/>
          <w:b/>
          <w:bCs/>
          <w:sz w:val="28"/>
          <w:szCs w:val="28"/>
          <w:lang w:eastAsia="ja-JP"/>
        </w:rPr>
      </w:pPr>
      <w:r w:rsidRPr="00384457">
        <w:rPr>
          <w:rFonts w:eastAsiaTheme="minorEastAsia" w:cs="Arial"/>
          <w:b/>
          <w:bCs/>
          <w:sz w:val="28"/>
          <w:szCs w:val="28"/>
          <w:lang w:eastAsia="ja-JP"/>
        </w:rPr>
        <w:t>People and Places Board – End of Year Report</w:t>
      </w:r>
    </w:p>
    <w:p w14:paraId="3FA2BD33" w14:textId="77777777" w:rsidR="00384457" w:rsidRDefault="00384457" w:rsidP="00021C17">
      <w:pPr>
        <w:autoSpaceDE w:val="0"/>
        <w:autoSpaceDN w:val="0"/>
        <w:adjustRightInd w:val="0"/>
        <w:ind w:left="0" w:firstLine="0"/>
        <w:rPr>
          <w:rFonts w:eastAsiaTheme="minorEastAsia" w:cs="Arial"/>
          <w:b/>
          <w:bCs/>
          <w:lang w:eastAsia="ja-JP"/>
        </w:rPr>
      </w:pPr>
    </w:p>
    <w:p w14:paraId="4121C55E" w14:textId="2525349B" w:rsidR="00021C17" w:rsidRDefault="00021C17" w:rsidP="00021C17">
      <w:pPr>
        <w:autoSpaceDE w:val="0"/>
        <w:autoSpaceDN w:val="0"/>
        <w:adjustRightInd w:val="0"/>
        <w:ind w:left="0" w:firstLine="0"/>
        <w:rPr>
          <w:rFonts w:eastAsiaTheme="minorEastAsia" w:cs="Arial"/>
          <w:b/>
          <w:bCs/>
          <w:lang w:eastAsia="ja-JP"/>
        </w:rPr>
      </w:pPr>
      <w:r>
        <w:rPr>
          <w:rFonts w:eastAsiaTheme="minorEastAsia" w:cs="Arial"/>
          <w:b/>
          <w:bCs/>
          <w:lang w:eastAsia="ja-JP"/>
        </w:rPr>
        <w:t>Background and Context</w:t>
      </w:r>
    </w:p>
    <w:p w14:paraId="4121C55F" w14:textId="77777777" w:rsidR="00021C17" w:rsidRDefault="00021C17" w:rsidP="00021C17">
      <w:pPr>
        <w:autoSpaceDE w:val="0"/>
        <w:autoSpaceDN w:val="0"/>
        <w:adjustRightInd w:val="0"/>
        <w:ind w:left="0" w:firstLine="0"/>
        <w:rPr>
          <w:rFonts w:eastAsiaTheme="minorEastAsia" w:cs="Arial"/>
          <w:b/>
          <w:bCs/>
          <w:lang w:eastAsia="ja-JP"/>
        </w:rPr>
      </w:pPr>
    </w:p>
    <w:p w14:paraId="4121C560" w14:textId="77777777" w:rsidR="00021C17" w:rsidRDefault="00021C17" w:rsidP="00021C17">
      <w:pPr>
        <w:pStyle w:val="ListParagraph"/>
        <w:numPr>
          <w:ilvl w:val="0"/>
          <w:numId w:val="2"/>
        </w:numPr>
        <w:autoSpaceDE w:val="0"/>
        <w:autoSpaceDN w:val="0"/>
        <w:adjustRightInd w:val="0"/>
        <w:rPr>
          <w:rFonts w:eastAsiaTheme="minorEastAsia"/>
          <w:lang w:eastAsia="ja-JP"/>
        </w:rPr>
      </w:pPr>
      <w:r>
        <w:rPr>
          <w:rFonts w:eastAsiaTheme="minorEastAsia"/>
          <w:lang w:eastAsia="ja-JP"/>
        </w:rPr>
        <w:t>The People and Places Board was created to provide a clear voice and resource for non-metropolitan authorities within the LGA.</w:t>
      </w:r>
    </w:p>
    <w:p w14:paraId="4121C561" w14:textId="77777777" w:rsidR="00021C17" w:rsidRDefault="00021C17" w:rsidP="00021C17">
      <w:pPr>
        <w:pStyle w:val="ListParagraph"/>
        <w:numPr>
          <w:ilvl w:val="0"/>
          <w:numId w:val="0"/>
        </w:numPr>
        <w:autoSpaceDE w:val="0"/>
        <w:autoSpaceDN w:val="0"/>
        <w:adjustRightInd w:val="0"/>
        <w:ind w:left="360"/>
        <w:rPr>
          <w:rFonts w:eastAsiaTheme="minorEastAsia"/>
          <w:lang w:eastAsia="ja-JP"/>
        </w:rPr>
      </w:pPr>
    </w:p>
    <w:p w14:paraId="4121C562" w14:textId="77777777" w:rsidR="00021C17" w:rsidRDefault="00021C17" w:rsidP="00021C17">
      <w:pPr>
        <w:pStyle w:val="ListParagraph"/>
        <w:numPr>
          <w:ilvl w:val="0"/>
          <w:numId w:val="2"/>
        </w:numPr>
        <w:autoSpaceDE w:val="0"/>
        <w:autoSpaceDN w:val="0"/>
        <w:adjustRightInd w:val="0"/>
        <w:rPr>
          <w:rFonts w:eastAsiaTheme="minorEastAsia"/>
          <w:lang w:eastAsia="ja-JP"/>
        </w:rPr>
      </w:pPr>
      <w:r>
        <w:rPr>
          <w:rFonts w:eastAsiaTheme="minorEastAsia"/>
          <w:lang w:eastAsia="ja-JP"/>
        </w:rPr>
        <w:t>Members are asked to consider the achievements of the board over the last year against the use of allocated resources and to reflect on whether the board is continuing to meet its original purpose in response to the emerging priorities of non-metropolitan areas.</w:t>
      </w:r>
    </w:p>
    <w:p w14:paraId="4121C563" w14:textId="77777777" w:rsidR="00021C17" w:rsidRDefault="00021C17" w:rsidP="00021C17">
      <w:pPr>
        <w:autoSpaceDE w:val="0"/>
        <w:autoSpaceDN w:val="0"/>
        <w:adjustRightInd w:val="0"/>
        <w:ind w:left="0" w:firstLine="0"/>
        <w:rPr>
          <w:rFonts w:eastAsiaTheme="minorEastAsia" w:cs="Arial"/>
          <w:b/>
          <w:bCs/>
          <w:lang w:eastAsia="ja-JP"/>
        </w:rPr>
      </w:pPr>
    </w:p>
    <w:p w14:paraId="4121C564" w14:textId="77777777" w:rsidR="00021C17" w:rsidRDefault="00021C17" w:rsidP="00021C17">
      <w:pPr>
        <w:autoSpaceDE w:val="0"/>
        <w:autoSpaceDN w:val="0"/>
        <w:adjustRightInd w:val="0"/>
        <w:ind w:left="0" w:firstLine="0"/>
        <w:rPr>
          <w:rFonts w:eastAsiaTheme="minorEastAsia" w:cs="Arial"/>
          <w:b/>
          <w:bCs/>
          <w:lang w:eastAsia="ja-JP"/>
        </w:rPr>
      </w:pPr>
      <w:r>
        <w:rPr>
          <w:rFonts w:eastAsiaTheme="minorEastAsia" w:cs="Arial"/>
          <w:b/>
          <w:bCs/>
          <w:lang w:eastAsia="ja-JP"/>
        </w:rPr>
        <w:t>Priorities and Achievements</w:t>
      </w:r>
    </w:p>
    <w:p w14:paraId="4121C565" w14:textId="77777777" w:rsidR="00021C17" w:rsidRDefault="00021C17" w:rsidP="00021C17">
      <w:pPr>
        <w:rPr>
          <w:rFonts w:eastAsiaTheme="minorEastAsia" w:cs="Arial"/>
          <w:b/>
          <w:bCs/>
          <w:lang w:eastAsia="ja-JP"/>
        </w:rPr>
      </w:pPr>
    </w:p>
    <w:p w14:paraId="4121C566" w14:textId="77777777" w:rsidR="00021C17" w:rsidRDefault="00021C17" w:rsidP="00021C17">
      <w:pPr>
        <w:rPr>
          <w:rFonts w:eastAsia="Times New Roman"/>
          <w:b/>
          <w:bCs/>
          <w:lang w:eastAsia="en-GB"/>
        </w:rPr>
      </w:pPr>
      <w:r>
        <w:rPr>
          <w:rFonts w:eastAsia="Times New Roman"/>
          <w:b/>
          <w:bCs/>
          <w:lang w:eastAsia="en-GB"/>
        </w:rPr>
        <w:t>Devolution</w:t>
      </w:r>
    </w:p>
    <w:p w14:paraId="4121C567" w14:textId="77777777" w:rsidR="00021C17" w:rsidRDefault="00021C17" w:rsidP="00021C17">
      <w:pPr>
        <w:rPr>
          <w:rFonts w:eastAsia="Times New Roman"/>
          <w:bCs/>
          <w:lang w:eastAsia="en-GB"/>
        </w:rPr>
      </w:pPr>
    </w:p>
    <w:p w14:paraId="4121C568" w14:textId="77777777" w:rsidR="00021C17" w:rsidRDefault="00021C17" w:rsidP="00021C17">
      <w:pPr>
        <w:pStyle w:val="ListParagraph"/>
        <w:numPr>
          <w:ilvl w:val="0"/>
          <w:numId w:val="2"/>
        </w:numPr>
        <w:autoSpaceDE w:val="0"/>
        <w:autoSpaceDN w:val="0"/>
        <w:adjustRightInd w:val="0"/>
        <w:rPr>
          <w:rFonts w:eastAsiaTheme="minorEastAsia"/>
          <w:lang w:eastAsia="ja-JP"/>
        </w:rPr>
      </w:pPr>
      <w:r>
        <w:rPr>
          <w:rFonts w:eastAsiaTheme="minorEastAsia"/>
          <w:lang w:eastAsia="ja-JP"/>
        </w:rPr>
        <w:t>Following the General Election, the returning Conservative Government included a commitment to publish a Devolution White Paper. The Queen’s Speech briefing notes outlined that the White Paper, expected the autumn, will set out the Government’s strategy for ‘continued local economic growth and increased productivity across the country, including plans for institutions, spending priorities, local economic plans and local growth funding’.</w:t>
      </w:r>
    </w:p>
    <w:p w14:paraId="4121C569" w14:textId="77777777" w:rsidR="00021C17" w:rsidRDefault="00021C17" w:rsidP="00021C17">
      <w:pPr>
        <w:pStyle w:val="ListParagraph"/>
        <w:numPr>
          <w:ilvl w:val="0"/>
          <w:numId w:val="0"/>
        </w:numPr>
        <w:autoSpaceDE w:val="0"/>
        <w:autoSpaceDN w:val="0"/>
        <w:adjustRightInd w:val="0"/>
        <w:ind w:left="360"/>
        <w:rPr>
          <w:rFonts w:eastAsiaTheme="minorEastAsia"/>
          <w:lang w:eastAsia="ja-JP"/>
        </w:rPr>
      </w:pPr>
    </w:p>
    <w:p w14:paraId="4121C56A" w14:textId="77777777" w:rsidR="00021C17" w:rsidRDefault="00021C17" w:rsidP="00021C17">
      <w:pPr>
        <w:pStyle w:val="ListParagraph"/>
        <w:numPr>
          <w:ilvl w:val="0"/>
          <w:numId w:val="2"/>
        </w:numPr>
        <w:autoSpaceDE w:val="0"/>
        <w:autoSpaceDN w:val="0"/>
        <w:adjustRightInd w:val="0"/>
        <w:rPr>
          <w:rFonts w:eastAsiaTheme="minorEastAsia"/>
          <w:lang w:eastAsia="ja-JP"/>
        </w:rPr>
      </w:pPr>
      <w:r>
        <w:rPr>
          <w:rFonts w:eastAsiaTheme="minorEastAsia"/>
          <w:lang w:eastAsia="ja-JP"/>
        </w:rPr>
        <w:t>Within the context of this renewed focus on devolution and growth funding to non-metropolitan England</w:t>
      </w:r>
      <w:r>
        <w:rPr>
          <w:lang w:eastAsia="ja-JP"/>
        </w:rPr>
        <w:t xml:space="preserve"> alongside other commitments to ‘level up’ the United Kingdom</w:t>
      </w:r>
      <w:r>
        <w:rPr>
          <w:rFonts w:eastAsiaTheme="minorEastAsia"/>
          <w:lang w:eastAsia="ja-JP"/>
        </w:rPr>
        <w:t>, the Board commissioned a range of research pieces to inform the LGA’s influencing of the White Paper and conversations with civil servants about the future of devolution in England. These are detailed below.</w:t>
      </w:r>
    </w:p>
    <w:p w14:paraId="4121C56B" w14:textId="77777777" w:rsidR="00021C17" w:rsidRDefault="00021C17" w:rsidP="00021C17">
      <w:pPr>
        <w:pStyle w:val="ListParagraph"/>
        <w:numPr>
          <w:ilvl w:val="0"/>
          <w:numId w:val="0"/>
        </w:numPr>
        <w:autoSpaceDE w:val="0"/>
        <w:autoSpaceDN w:val="0"/>
        <w:adjustRightInd w:val="0"/>
        <w:ind w:left="360"/>
        <w:rPr>
          <w:rFonts w:eastAsiaTheme="minorEastAsia"/>
          <w:lang w:eastAsia="ja-JP"/>
        </w:rPr>
      </w:pPr>
    </w:p>
    <w:p w14:paraId="4121C56C" w14:textId="77777777" w:rsidR="00021C17" w:rsidRDefault="00021C17" w:rsidP="00021C17">
      <w:pPr>
        <w:autoSpaceDE w:val="0"/>
        <w:autoSpaceDN w:val="0"/>
        <w:adjustRightInd w:val="0"/>
        <w:ind w:left="360" w:hanging="360"/>
        <w:rPr>
          <w:rFonts w:eastAsiaTheme="minorEastAsia" w:cs="Arial"/>
          <w:lang w:eastAsia="ja-JP"/>
        </w:rPr>
      </w:pPr>
      <w:r>
        <w:rPr>
          <w:b/>
        </w:rPr>
        <w:t>District and county collaboration</w:t>
      </w:r>
    </w:p>
    <w:p w14:paraId="4121C56D" w14:textId="77777777" w:rsidR="00021C17" w:rsidRDefault="00021C17" w:rsidP="00021C17">
      <w:pPr>
        <w:pStyle w:val="ListParagraph"/>
        <w:numPr>
          <w:ilvl w:val="0"/>
          <w:numId w:val="0"/>
        </w:numPr>
        <w:autoSpaceDE w:val="0"/>
        <w:autoSpaceDN w:val="0"/>
        <w:adjustRightInd w:val="0"/>
        <w:ind w:left="360"/>
        <w:rPr>
          <w:rFonts w:eastAsiaTheme="minorEastAsia"/>
          <w:lang w:eastAsia="ja-JP"/>
        </w:rPr>
      </w:pPr>
    </w:p>
    <w:p w14:paraId="4121C56E" w14:textId="77777777" w:rsidR="00021C17" w:rsidRDefault="00021C17" w:rsidP="00021C17">
      <w:pPr>
        <w:pStyle w:val="ListParagraph"/>
        <w:numPr>
          <w:ilvl w:val="0"/>
          <w:numId w:val="2"/>
        </w:numPr>
        <w:autoSpaceDE w:val="0"/>
        <w:autoSpaceDN w:val="0"/>
        <w:adjustRightInd w:val="0"/>
        <w:rPr>
          <w:rFonts w:eastAsiaTheme="minorEastAsia"/>
          <w:lang w:eastAsia="ja-JP"/>
        </w:rPr>
      </w:pPr>
      <w:r>
        <w:rPr>
          <w:rFonts w:eastAsiaTheme="minorEastAsia"/>
          <w:lang w:eastAsia="ja-JP"/>
        </w:rPr>
        <w:t xml:space="preserve">Members commissioned a piece of work to explore the opportunities and future direction of collaboration between district and county councils with both the </w:t>
      </w:r>
      <w:r>
        <w:rPr>
          <w:rFonts w:ascii="ArialMT" w:eastAsiaTheme="minorEastAsia" w:hAnsi="ArialMT" w:cs="ArialMT"/>
          <w:lang w:eastAsia="ja-JP"/>
        </w:rPr>
        <w:t>County Council Network and District Councils’ Network</w:t>
      </w:r>
      <w:r>
        <w:rPr>
          <w:rFonts w:eastAsiaTheme="minorEastAsia"/>
          <w:lang w:eastAsia="ja-JP"/>
        </w:rPr>
        <w:t xml:space="preserve"> deeply involved. To inform the research over 30 non-attributable and attributable interviews were undertaken with district and county councils across the country. The research outlines a range of drivers of collaboration and is part of the main agenda.</w:t>
      </w:r>
    </w:p>
    <w:p w14:paraId="4121C56F" w14:textId="77777777" w:rsidR="00021C17" w:rsidRDefault="00021C17" w:rsidP="00021C17">
      <w:pPr>
        <w:pStyle w:val="ListParagraph"/>
        <w:numPr>
          <w:ilvl w:val="0"/>
          <w:numId w:val="0"/>
        </w:numPr>
        <w:autoSpaceDE w:val="0"/>
        <w:autoSpaceDN w:val="0"/>
        <w:adjustRightInd w:val="0"/>
        <w:ind w:left="360"/>
        <w:rPr>
          <w:rFonts w:eastAsiaTheme="minorEastAsia"/>
          <w:lang w:eastAsia="ja-JP"/>
        </w:rPr>
      </w:pPr>
    </w:p>
    <w:p w14:paraId="4121C570" w14:textId="77777777" w:rsidR="00021C17" w:rsidRDefault="00021C17" w:rsidP="00021C17">
      <w:pPr>
        <w:autoSpaceDE w:val="0"/>
        <w:autoSpaceDN w:val="0"/>
        <w:adjustRightInd w:val="0"/>
        <w:ind w:left="0" w:firstLine="0"/>
        <w:rPr>
          <w:b/>
        </w:rPr>
      </w:pPr>
      <w:r>
        <w:rPr>
          <w:b/>
        </w:rPr>
        <w:t>Growth funding and fiscal devolution to non-metropolitan areas</w:t>
      </w:r>
    </w:p>
    <w:p w14:paraId="4121C571" w14:textId="77777777" w:rsidR="00021C17" w:rsidRDefault="00021C17" w:rsidP="00021C17">
      <w:pPr>
        <w:autoSpaceDE w:val="0"/>
        <w:autoSpaceDN w:val="0"/>
        <w:adjustRightInd w:val="0"/>
        <w:ind w:left="0" w:firstLine="0"/>
        <w:rPr>
          <w:rFonts w:eastAsiaTheme="minorEastAsia" w:cs="Arial"/>
          <w:lang w:eastAsia="ja-JP"/>
        </w:rPr>
      </w:pPr>
    </w:p>
    <w:p w14:paraId="4121C572" w14:textId="77777777" w:rsidR="00021C17" w:rsidRDefault="00021C17" w:rsidP="00021C17">
      <w:pPr>
        <w:pStyle w:val="ListParagraph"/>
        <w:numPr>
          <w:ilvl w:val="0"/>
          <w:numId w:val="2"/>
        </w:numPr>
        <w:autoSpaceDE w:val="0"/>
        <w:autoSpaceDN w:val="0"/>
        <w:adjustRightInd w:val="0"/>
        <w:rPr>
          <w:rFonts w:eastAsiaTheme="minorEastAsia"/>
          <w:lang w:eastAsia="ja-JP"/>
        </w:rPr>
      </w:pPr>
      <w:r>
        <w:t xml:space="preserve">The Board also commissioned research from think-tank </w:t>
      </w:r>
      <w:proofErr w:type="spellStart"/>
      <w:r>
        <w:t>Localis</w:t>
      </w:r>
      <w:proofErr w:type="spellEnd"/>
      <w:r>
        <w:t xml:space="preserve"> to explore international examples of devolved growth funding and fiscal devolution to derive key lessons and advance the Board’s work on devolution. </w:t>
      </w:r>
    </w:p>
    <w:p w14:paraId="4121C573" w14:textId="77777777" w:rsidR="00021C17" w:rsidRDefault="00021C17" w:rsidP="00021C17">
      <w:pPr>
        <w:pStyle w:val="ListParagraph"/>
        <w:numPr>
          <w:ilvl w:val="0"/>
          <w:numId w:val="0"/>
        </w:numPr>
        <w:autoSpaceDE w:val="0"/>
        <w:autoSpaceDN w:val="0"/>
        <w:adjustRightInd w:val="0"/>
        <w:ind w:left="360"/>
        <w:rPr>
          <w:rFonts w:eastAsiaTheme="minorEastAsia"/>
          <w:lang w:eastAsia="ja-JP"/>
        </w:rPr>
      </w:pPr>
    </w:p>
    <w:p w14:paraId="4121C574" w14:textId="77777777" w:rsidR="00021C17" w:rsidRDefault="00021C17" w:rsidP="00021C17">
      <w:pPr>
        <w:pStyle w:val="ListParagraph"/>
        <w:numPr>
          <w:ilvl w:val="0"/>
          <w:numId w:val="2"/>
        </w:numPr>
        <w:autoSpaceDE w:val="0"/>
        <w:autoSpaceDN w:val="0"/>
        <w:adjustRightInd w:val="0"/>
        <w:rPr>
          <w:rFonts w:eastAsiaTheme="minorEastAsia"/>
          <w:lang w:eastAsia="ja-JP"/>
        </w:rPr>
      </w:pPr>
      <w:proofErr w:type="spellStart"/>
      <w:r>
        <w:t>Localis</w:t>
      </w:r>
      <w:proofErr w:type="spellEnd"/>
      <w:r>
        <w:t xml:space="preserve"> focused the research on international examples from Germany, Switzerland and the Netherlands. Alongside desk-based research, they conducted a series of interviews with key stakeholders from each country to better understand how these systems work in practice as well as the lessons for local government in non-metropolitan England.</w:t>
      </w:r>
    </w:p>
    <w:p w14:paraId="4121C575" w14:textId="77777777" w:rsidR="00021C17" w:rsidRDefault="00021C17" w:rsidP="00021C17">
      <w:pPr>
        <w:pStyle w:val="ListParagraph"/>
        <w:numPr>
          <w:ilvl w:val="0"/>
          <w:numId w:val="0"/>
        </w:numPr>
        <w:ind w:left="360"/>
        <w:rPr>
          <w:rFonts w:eastAsiaTheme="minorEastAsia"/>
          <w:lang w:eastAsia="ja-JP"/>
        </w:rPr>
      </w:pPr>
    </w:p>
    <w:p w14:paraId="4121C576" w14:textId="77777777" w:rsidR="00021C17" w:rsidRDefault="00021C17" w:rsidP="00021C17">
      <w:pPr>
        <w:pStyle w:val="ListParagraph"/>
        <w:numPr>
          <w:ilvl w:val="0"/>
          <w:numId w:val="0"/>
        </w:numPr>
        <w:ind w:left="360"/>
        <w:rPr>
          <w:rFonts w:eastAsiaTheme="minorEastAsia"/>
          <w:lang w:eastAsia="ja-JP"/>
        </w:rPr>
      </w:pPr>
    </w:p>
    <w:p w14:paraId="4121C578" w14:textId="77777777" w:rsidR="00021C17" w:rsidRDefault="00021C17" w:rsidP="00021C17">
      <w:pPr>
        <w:autoSpaceDE w:val="0"/>
        <w:autoSpaceDN w:val="0"/>
        <w:adjustRightInd w:val="0"/>
        <w:ind w:left="360" w:hanging="360"/>
        <w:rPr>
          <w:rFonts w:eastAsia="Times New Roman"/>
          <w:b/>
          <w:bCs/>
          <w:lang w:eastAsia="en-GB"/>
        </w:rPr>
      </w:pPr>
      <w:r>
        <w:rPr>
          <w:rFonts w:eastAsia="Times New Roman"/>
          <w:b/>
          <w:bCs/>
          <w:lang w:eastAsia="en-GB"/>
        </w:rPr>
        <w:lastRenderedPageBreak/>
        <w:t xml:space="preserve">Freeports </w:t>
      </w:r>
    </w:p>
    <w:p w14:paraId="4121C579" w14:textId="77777777" w:rsidR="00021C17" w:rsidRDefault="00021C17" w:rsidP="00021C17">
      <w:pPr>
        <w:autoSpaceDE w:val="0"/>
        <w:autoSpaceDN w:val="0"/>
        <w:adjustRightInd w:val="0"/>
        <w:ind w:left="360" w:hanging="360"/>
        <w:rPr>
          <w:rFonts w:eastAsiaTheme="minorEastAsia" w:cs="Arial"/>
          <w:lang w:eastAsia="ja-JP"/>
        </w:rPr>
      </w:pPr>
    </w:p>
    <w:p w14:paraId="4121C57A" w14:textId="77777777" w:rsidR="00021C17" w:rsidRDefault="00021C17" w:rsidP="00021C17">
      <w:pPr>
        <w:pStyle w:val="ListParagraph"/>
        <w:numPr>
          <w:ilvl w:val="0"/>
          <w:numId w:val="2"/>
        </w:numPr>
        <w:autoSpaceDE w:val="0"/>
        <w:autoSpaceDN w:val="0"/>
        <w:adjustRightInd w:val="0"/>
        <w:rPr>
          <w:rFonts w:eastAsiaTheme="minorEastAsia"/>
          <w:lang w:eastAsia="ja-JP"/>
        </w:rPr>
      </w:pPr>
      <w:r>
        <w:rPr>
          <w:rFonts w:eastAsiaTheme="minorEastAsia"/>
          <w:lang w:eastAsia="ja-JP"/>
        </w:rPr>
        <w:t>In February 2020, the Government launched a consultation on its proposed freeport policy, inviting stakeholders to provide views on the policy by 20 April 2020. Officers prepared a consultation response in partnership with a range of LGA Boards, including this one, on areas of specific interest to members, particularly its impact on local skills, business support and the wider trade and investment landscape.</w:t>
      </w:r>
    </w:p>
    <w:p w14:paraId="4121C57B" w14:textId="77777777" w:rsidR="00021C17" w:rsidRDefault="00021C17" w:rsidP="00021C17">
      <w:pPr>
        <w:pStyle w:val="ListParagraph"/>
        <w:numPr>
          <w:ilvl w:val="0"/>
          <w:numId w:val="0"/>
        </w:numPr>
        <w:autoSpaceDE w:val="0"/>
        <w:autoSpaceDN w:val="0"/>
        <w:adjustRightInd w:val="0"/>
        <w:ind w:left="360"/>
        <w:rPr>
          <w:rFonts w:eastAsiaTheme="minorEastAsia"/>
          <w:lang w:eastAsia="ja-JP"/>
        </w:rPr>
      </w:pPr>
    </w:p>
    <w:p w14:paraId="4121C57C" w14:textId="77777777" w:rsidR="00021C17" w:rsidRDefault="00021C17" w:rsidP="00021C17">
      <w:pPr>
        <w:autoSpaceDE w:val="0"/>
        <w:autoSpaceDN w:val="0"/>
        <w:adjustRightInd w:val="0"/>
        <w:ind w:left="0" w:firstLine="0"/>
        <w:rPr>
          <w:rFonts w:eastAsiaTheme="minorEastAsia" w:cs="Arial"/>
          <w:lang w:eastAsia="ja-JP"/>
        </w:rPr>
      </w:pPr>
      <w:r>
        <w:rPr>
          <w:rFonts w:eastAsia="Times New Roman"/>
          <w:b/>
          <w:bCs/>
          <w:lang w:eastAsia="en-GB"/>
        </w:rPr>
        <w:t>Broadband and mobile connectivity</w:t>
      </w:r>
    </w:p>
    <w:p w14:paraId="4121C57D" w14:textId="77777777" w:rsidR="00021C17" w:rsidRDefault="00021C17" w:rsidP="00021C17">
      <w:pPr>
        <w:pStyle w:val="ListParagraph"/>
        <w:numPr>
          <w:ilvl w:val="0"/>
          <w:numId w:val="0"/>
        </w:numPr>
        <w:autoSpaceDE w:val="0"/>
        <w:autoSpaceDN w:val="0"/>
        <w:adjustRightInd w:val="0"/>
        <w:ind w:left="360"/>
        <w:rPr>
          <w:rFonts w:eastAsiaTheme="minorEastAsia"/>
          <w:lang w:eastAsia="ja-JP"/>
        </w:rPr>
      </w:pPr>
    </w:p>
    <w:p w14:paraId="4121C57E" w14:textId="111F7A1E" w:rsidR="00021C17" w:rsidRDefault="00021C17" w:rsidP="00021C17">
      <w:pPr>
        <w:pStyle w:val="ListParagraph"/>
        <w:numPr>
          <w:ilvl w:val="0"/>
          <w:numId w:val="2"/>
        </w:numPr>
        <w:autoSpaceDE w:val="0"/>
        <w:autoSpaceDN w:val="0"/>
        <w:adjustRightInd w:val="0"/>
        <w:rPr>
          <w:rFonts w:eastAsiaTheme="minorEastAsia"/>
          <w:lang w:eastAsia="ja-JP"/>
        </w:rPr>
      </w:pPr>
      <w:r>
        <w:rPr>
          <w:rFonts w:eastAsiaTheme="minorEastAsia"/>
          <w:lang w:eastAsia="ja-JP"/>
        </w:rPr>
        <w:t>The Board’s work on digital connectivity has continued over the Board cycle focussing mainly on influencing the design of publicly funded roll out of gigabit-broadband to ensure a meaningful role for councils in delivery. The Board’s main advocacy lines were fed into a submission to the DCMS Committee’s Inquiry into 5G and Broadband</w:t>
      </w:r>
      <w:r w:rsidR="00384457">
        <w:rPr>
          <w:rFonts w:eastAsiaTheme="minorEastAsia"/>
          <w:lang w:eastAsia="ja-JP"/>
        </w:rPr>
        <w:t xml:space="preserve"> </w:t>
      </w:r>
      <w:r>
        <w:rPr>
          <w:rFonts w:eastAsiaTheme="minorEastAsia"/>
          <w:lang w:eastAsia="ja-JP"/>
        </w:rPr>
        <w:t>and relayed to the Digital Infrastructure Minister Matt Waman MP in a meeting organised in June.</w:t>
      </w:r>
    </w:p>
    <w:p w14:paraId="4121C57F" w14:textId="77777777" w:rsidR="00021C17" w:rsidRDefault="00021C17" w:rsidP="00021C17">
      <w:pPr>
        <w:pStyle w:val="ListParagraph"/>
        <w:numPr>
          <w:ilvl w:val="0"/>
          <w:numId w:val="0"/>
        </w:numPr>
        <w:autoSpaceDE w:val="0"/>
        <w:autoSpaceDN w:val="0"/>
        <w:adjustRightInd w:val="0"/>
        <w:ind w:left="360"/>
        <w:rPr>
          <w:rFonts w:eastAsiaTheme="minorEastAsia"/>
          <w:lang w:eastAsia="ja-JP"/>
        </w:rPr>
      </w:pPr>
    </w:p>
    <w:p w14:paraId="4121C580" w14:textId="77777777" w:rsidR="00021C17" w:rsidRDefault="00021C17" w:rsidP="00021C17">
      <w:pPr>
        <w:autoSpaceDE w:val="0"/>
        <w:autoSpaceDN w:val="0"/>
        <w:adjustRightInd w:val="0"/>
        <w:ind w:left="360" w:hanging="360"/>
        <w:rPr>
          <w:rFonts w:eastAsiaTheme="minorEastAsia" w:cs="Arial"/>
          <w:lang w:eastAsia="ja-JP"/>
        </w:rPr>
      </w:pPr>
      <w:r>
        <w:rPr>
          <w:rFonts w:eastAsia="Times New Roman"/>
          <w:b/>
          <w:bCs/>
          <w:lang w:eastAsia="en-GB"/>
        </w:rPr>
        <w:t xml:space="preserve">Rural Land Management </w:t>
      </w:r>
    </w:p>
    <w:p w14:paraId="4121C581" w14:textId="77777777" w:rsidR="00021C17" w:rsidRDefault="00021C17" w:rsidP="00021C17">
      <w:pPr>
        <w:pStyle w:val="ListParagraph"/>
        <w:numPr>
          <w:ilvl w:val="0"/>
          <w:numId w:val="0"/>
        </w:numPr>
        <w:ind w:left="360"/>
        <w:rPr>
          <w:rFonts w:eastAsiaTheme="minorEastAsia"/>
          <w:lang w:eastAsia="ja-JP"/>
        </w:rPr>
      </w:pPr>
    </w:p>
    <w:p w14:paraId="4121C582" w14:textId="77777777" w:rsidR="00021C17" w:rsidRDefault="00021C17" w:rsidP="00021C17">
      <w:pPr>
        <w:pStyle w:val="ListParagraph"/>
        <w:numPr>
          <w:ilvl w:val="0"/>
          <w:numId w:val="2"/>
        </w:numPr>
        <w:autoSpaceDE w:val="0"/>
        <w:autoSpaceDN w:val="0"/>
        <w:adjustRightInd w:val="0"/>
        <w:rPr>
          <w:rFonts w:eastAsiaTheme="minorEastAsia"/>
          <w:lang w:eastAsia="ja-JP"/>
        </w:rPr>
      </w:pPr>
      <w:r>
        <w:rPr>
          <w:rFonts w:eastAsiaTheme="minorEastAsia"/>
          <w:lang w:eastAsia="ja-JP"/>
        </w:rPr>
        <w:t xml:space="preserve">Following work the Board undertook over the last political cycle to explore the role of local government in a reformed land management policy framework, members agreed to maintain their focus on this vital topic over the 2019/20 cycle. </w:t>
      </w:r>
      <w:r>
        <w:rPr>
          <w:rFonts w:eastAsia="Times New Roman"/>
          <w:bCs/>
          <w:lang w:eastAsia="en-GB"/>
        </w:rPr>
        <w:t xml:space="preserve">On behalf of the Board, officers have continued to work closely with Defra and other rural stakeholders on shaping the new Environmental Land Management Scheme. Key advocacy lines have also been fed into parliamentary briefings related to the Agriculture Bill and Environment Bill. The views of the Board will be fed into consultation the Department launched on the scheme earlier this year, but which is currently postponed owing to the Covid-19 crisis. </w:t>
      </w:r>
    </w:p>
    <w:p w14:paraId="4121C583" w14:textId="77777777" w:rsidR="00021C17" w:rsidRDefault="00021C17" w:rsidP="00021C17">
      <w:pPr>
        <w:autoSpaceDE w:val="0"/>
        <w:autoSpaceDN w:val="0"/>
        <w:adjustRightInd w:val="0"/>
        <w:ind w:left="0" w:firstLine="0"/>
        <w:rPr>
          <w:rFonts w:eastAsia="Times New Roman"/>
          <w:b/>
          <w:bCs/>
          <w:lang w:eastAsia="en-GB"/>
        </w:rPr>
      </w:pPr>
    </w:p>
    <w:p w14:paraId="4121C584" w14:textId="77777777" w:rsidR="00021C17" w:rsidRDefault="00021C17" w:rsidP="00021C17">
      <w:pPr>
        <w:autoSpaceDE w:val="0"/>
        <w:autoSpaceDN w:val="0"/>
        <w:adjustRightInd w:val="0"/>
        <w:ind w:left="0" w:firstLine="0"/>
        <w:rPr>
          <w:rFonts w:eastAsia="Times New Roman"/>
          <w:b/>
          <w:bCs/>
          <w:lang w:eastAsia="en-GB"/>
        </w:rPr>
      </w:pPr>
      <w:r>
        <w:rPr>
          <w:rFonts w:eastAsia="Times New Roman"/>
          <w:b/>
          <w:bCs/>
          <w:lang w:eastAsia="en-GB"/>
        </w:rPr>
        <w:t>Subnational Bodies</w:t>
      </w:r>
    </w:p>
    <w:p w14:paraId="4121C585" w14:textId="77777777" w:rsidR="00021C17" w:rsidRDefault="00021C17" w:rsidP="00021C17">
      <w:pPr>
        <w:autoSpaceDE w:val="0"/>
        <w:autoSpaceDN w:val="0"/>
        <w:adjustRightInd w:val="0"/>
        <w:ind w:left="0" w:firstLine="0"/>
        <w:rPr>
          <w:rFonts w:eastAsia="Times New Roman"/>
          <w:b/>
          <w:bCs/>
          <w:lang w:eastAsia="en-GB"/>
        </w:rPr>
      </w:pPr>
    </w:p>
    <w:p w14:paraId="4121C586" w14:textId="77777777" w:rsidR="00021C17" w:rsidRDefault="00021C17" w:rsidP="00021C17">
      <w:pPr>
        <w:pStyle w:val="ListParagraph"/>
        <w:numPr>
          <w:ilvl w:val="0"/>
          <w:numId w:val="2"/>
        </w:numPr>
        <w:jc w:val="both"/>
        <w:rPr>
          <w:b/>
        </w:rPr>
      </w:pPr>
      <w:r>
        <w:t>Building on the LGA’s work to support the development of successful local industrial strategies and strengthen England’s trade and investment landscape, and with a view to influencing the English Devolution White Paper, a research commission was issued in early February 2020 in order to better understand the functions and future of both established and emerging sub-national bodies. This project will be used to inform the development of the LGA’s position regarding future devolution.</w:t>
      </w:r>
    </w:p>
    <w:p w14:paraId="4121C587" w14:textId="77777777" w:rsidR="00021C17" w:rsidRDefault="00021C17" w:rsidP="00021C17">
      <w:pPr>
        <w:autoSpaceDE w:val="0"/>
        <w:autoSpaceDN w:val="0"/>
        <w:adjustRightInd w:val="0"/>
        <w:ind w:left="0" w:firstLine="0"/>
        <w:rPr>
          <w:rFonts w:eastAsia="Times New Roman"/>
          <w:b/>
          <w:bCs/>
          <w:lang w:eastAsia="en-GB"/>
        </w:rPr>
      </w:pPr>
    </w:p>
    <w:p w14:paraId="4121C588" w14:textId="77777777" w:rsidR="00021C17" w:rsidRDefault="00021C17" w:rsidP="00021C17">
      <w:pPr>
        <w:autoSpaceDE w:val="0"/>
        <w:autoSpaceDN w:val="0"/>
        <w:adjustRightInd w:val="0"/>
        <w:ind w:left="0" w:firstLine="0"/>
        <w:rPr>
          <w:rFonts w:eastAsiaTheme="minorEastAsia" w:cs="Arial"/>
          <w:lang w:eastAsia="ja-JP"/>
        </w:rPr>
      </w:pPr>
      <w:r>
        <w:rPr>
          <w:rFonts w:eastAsia="Times New Roman"/>
          <w:b/>
          <w:bCs/>
          <w:lang w:eastAsia="en-GB"/>
        </w:rPr>
        <w:t>Supporting the UN Sustainable Development Goals</w:t>
      </w:r>
    </w:p>
    <w:p w14:paraId="4121C589" w14:textId="77777777" w:rsidR="00021C17" w:rsidRDefault="00021C17" w:rsidP="00021C17">
      <w:pPr>
        <w:pStyle w:val="ListParagraph"/>
        <w:numPr>
          <w:ilvl w:val="0"/>
          <w:numId w:val="0"/>
        </w:numPr>
        <w:autoSpaceDE w:val="0"/>
        <w:autoSpaceDN w:val="0"/>
        <w:adjustRightInd w:val="0"/>
        <w:ind w:left="360"/>
        <w:rPr>
          <w:rFonts w:eastAsiaTheme="minorEastAsia"/>
          <w:lang w:eastAsia="ja-JP"/>
        </w:rPr>
      </w:pPr>
    </w:p>
    <w:p w14:paraId="4121C58A" w14:textId="77777777" w:rsidR="00021C17" w:rsidRDefault="00021C17" w:rsidP="00021C17">
      <w:pPr>
        <w:pStyle w:val="ListParagraph"/>
        <w:numPr>
          <w:ilvl w:val="0"/>
          <w:numId w:val="2"/>
        </w:numPr>
        <w:autoSpaceDE w:val="0"/>
        <w:autoSpaceDN w:val="0"/>
        <w:adjustRightInd w:val="0"/>
        <w:rPr>
          <w:rFonts w:eastAsiaTheme="minorEastAsia"/>
          <w:lang w:eastAsia="ja-JP"/>
        </w:rPr>
      </w:pPr>
      <w:r>
        <w:rPr>
          <w:rFonts w:eastAsiaTheme="minorEastAsia"/>
          <w:lang w:eastAsia="ja-JP"/>
        </w:rPr>
        <w:t>At the 2019 LGA Conference, a motion was passed in support of the SDGs. The motion asked councils to consider how they incorporated SDGs into their planning and with local partners. Following the motion, and with oversight of this Board, officers have worked with the European and Commonwealth LGAs to look at best practice abroad and engage with international institutions, such as UN-Habitat. A piece of work has also been from UK Stakeholders for Sustainable Development (UKSSD) to explore the role of councils in delivering the SDGs.</w:t>
      </w:r>
    </w:p>
    <w:p w14:paraId="4121C58B" w14:textId="77777777" w:rsidR="00021C17" w:rsidRDefault="00021C17" w:rsidP="00021C17">
      <w:pPr>
        <w:ind w:left="0" w:firstLine="0"/>
        <w:rPr>
          <w:rStyle w:val="ReportTemplate"/>
        </w:rPr>
      </w:pPr>
    </w:p>
    <w:p w14:paraId="36A755FC" w14:textId="77777777" w:rsidR="00E9148E" w:rsidRDefault="00E9148E" w:rsidP="00021C17">
      <w:pPr>
        <w:ind w:left="0" w:firstLine="0"/>
        <w:rPr>
          <w:rStyle w:val="ReportTemplate"/>
        </w:rPr>
      </w:pPr>
    </w:p>
    <w:p w14:paraId="4C9A6C1A" w14:textId="77777777" w:rsidR="00E9148E" w:rsidRDefault="00E9148E" w:rsidP="00021C17">
      <w:pPr>
        <w:ind w:left="0" w:firstLine="0"/>
        <w:rPr>
          <w:rStyle w:val="ReportTemplate"/>
        </w:rPr>
      </w:pPr>
    </w:p>
    <w:p w14:paraId="4121C58C" w14:textId="77777777" w:rsidR="00021C17" w:rsidRDefault="00021C17" w:rsidP="00021C17">
      <w:pPr>
        <w:ind w:left="360" w:hanging="360"/>
        <w:rPr>
          <w:b/>
          <w:bCs/>
        </w:rPr>
      </w:pPr>
      <w:r>
        <w:rPr>
          <w:b/>
          <w:bCs/>
        </w:rPr>
        <w:lastRenderedPageBreak/>
        <w:t>The UK Shared Prosperity Fund</w:t>
      </w:r>
    </w:p>
    <w:p w14:paraId="4121C58D" w14:textId="77777777" w:rsidR="00021C17" w:rsidRDefault="00021C17" w:rsidP="00021C17">
      <w:pPr>
        <w:ind w:left="360" w:hanging="360"/>
        <w:rPr>
          <w:b/>
          <w:bCs/>
        </w:rPr>
      </w:pPr>
    </w:p>
    <w:p w14:paraId="4121C58E" w14:textId="77777777" w:rsidR="00021C17" w:rsidRDefault="00021C17" w:rsidP="00021C17">
      <w:pPr>
        <w:pStyle w:val="ListParagraph"/>
        <w:numPr>
          <w:ilvl w:val="0"/>
          <w:numId w:val="2"/>
        </w:numPr>
      </w:pPr>
      <w:r>
        <w:t xml:space="preserve">The Board works jointly with the City Regions Board in further developing the LGA’s position on the domestic replacement for EU funding – the UKSPF. This is in advance of the consultation we expect to be announced at the Comprehensive Spending Review. To enhance the LGA’s agreed lines, the Boards have put forward the position for the UKSPF to be led by councils and combined authorities that meets the needs of our communities and driven by locally determined outcomes. Members have also expressed the need for a greater alignment with wider growth funding and the movement towards a single funding pot. </w:t>
      </w:r>
    </w:p>
    <w:p w14:paraId="4121C58F" w14:textId="77777777" w:rsidR="00021C17" w:rsidRDefault="00021C17" w:rsidP="00021C17">
      <w:pPr>
        <w:pStyle w:val="ListParagraph"/>
        <w:numPr>
          <w:ilvl w:val="0"/>
          <w:numId w:val="0"/>
        </w:numPr>
        <w:ind w:left="360"/>
      </w:pPr>
    </w:p>
    <w:p w14:paraId="4121C590" w14:textId="77777777" w:rsidR="00021C17" w:rsidRDefault="00021C17" w:rsidP="00021C17">
      <w:pPr>
        <w:ind w:left="360" w:hanging="360"/>
        <w:rPr>
          <w:b/>
          <w:bCs/>
        </w:rPr>
      </w:pPr>
      <w:r>
        <w:rPr>
          <w:b/>
          <w:bCs/>
        </w:rPr>
        <w:t>EU Funding</w:t>
      </w:r>
    </w:p>
    <w:p w14:paraId="4121C591" w14:textId="77777777" w:rsidR="00021C17" w:rsidRDefault="00021C17" w:rsidP="00021C17">
      <w:pPr>
        <w:rPr>
          <w:b/>
          <w:bCs/>
        </w:rPr>
      </w:pPr>
    </w:p>
    <w:p w14:paraId="4121C592" w14:textId="77777777" w:rsidR="00021C17" w:rsidRDefault="00021C17" w:rsidP="00021C17">
      <w:pPr>
        <w:pStyle w:val="ListParagraph"/>
        <w:numPr>
          <w:ilvl w:val="0"/>
          <w:numId w:val="2"/>
        </w:numPr>
      </w:pPr>
      <w:r>
        <w:t xml:space="preserve">Since the outbreak of COVID-19, the People &amp; Places Board, in conjunction with City Regions and Resources Boards, have provided intel on how the pandemic has impacted on current European Structural and Investment Fund (ESIF) programmes relating to economic growth, training and skills. This has shaped the assurance and guidance the Government has provided local areas. </w:t>
      </w:r>
    </w:p>
    <w:p w14:paraId="4121C593" w14:textId="77777777" w:rsidR="00021C17" w:rsidRDefault="00021C17" w:rsidP="00021C17">
      <w:pPr>
        <w:pStyle w:val="ListParagraph"/>
        <w:numPr>
          <w:ilvl w:val="0"/>
          <w:numId w:val="0"/>
        </w:numPr>
        <w:ind w:left="360"/>
      </w:pPr>
    </w:p>
    <w:p w14:paraId="4121C594" w14:textId="77777777" w:rsidR="00021C17" w:rsidRDefault="00021C17" w:rsidP="00021C17">
      <w:pPr>
        <w:pStyle w:val="ListParagraph"/>
        <w:numPr>
          <w:ilvl w:val="0"/>
          <w:numId w:val="2"/>
        </w:numPr>
      </w:pPr>
      <w:r>
        <w:t>The Boards have also provided steers on how the remaining unspent ESIF funds (the Reserve Fund) should be used to support local areas tackle COVID-19 and support economic recovery. £50 million of the European Regional Development Fund Reserve Fund has been secured as a grant for councils to spend on implementing social distancing measures in high streets. The LGA will continue to push for the greater involvement of councils in local decisions relating to remainder of the ESIF Programme and the Reserve Fund to support the economic recovery from COVID-19.</w:t>
      </w:r>
    </w:p>
    <w:p w14:paraId="4121C595" w14:textId="77777777" w:rsidR="00021C17" w:rsidRDefault="00021C17" w:rsidP="00021C17">
      <w:pPr>
        <w:pStyle w:val="ListParagraph"/>
        <w:numPr>
          <w:ilvl w:val="0"/>
          <w:numId w:val="0"/>
        </w:numPr>
        <w:ind w:left="360"/>
        <w:rPr>
          <w:rStyle w:val="ReportTemplate"/>
          <w:b/>
        </w:rPr>
      </w:pPr>
    </w:p>
    <w:p w14:paraId="4121C596" w14:textId="77777777" w:rsidR="00021C17" w:rsidRDefault="00021C17" w:rsidP="00021C17">
      <w:r>
        <w:rPr>
          <w:b/>
        </w:rPr>
        <w:t>Skills and Employment</w:t>
      </w:r>
    </w:p>
    <w:p w14:paraId="4121C597" w14:textId="77777777" w:rsidR="00021C17" w:rsidRDefault="00021C17" w:rsidP="00021C17">
      <w:pPr>
        <w:rPr>
          <w:rFonts w:ascii="Calibri" w:hAnsi="Calibri" w:cs="Calibri"/>
        </w:rPr>
      </w:pPr>
    </w:p>
    <w:p w14:paraId="4121C598" w14:textId="77777777" w:rsidR="00021C17" w:rsidRDefault="00021C17" w:rsidP="00021C17">
      <w:pPr>
        <w:pStyle w:val="ListParagraph"/>
        <w:numPr>
          <w:ilvl w:val="0"/>
          <w:numId w:val="2"/>
        </w:numPr>
      </w:pPr>
      <w:r>
        <w:t xml:space="preserve">The Board works jointly with the City Regions Board to steer our employment and skills work through our Work Local proposals for devolved and integrated employment and skills. Last July, following a successful series of LGA Skills Taskforce roundtables which engaged 28 stakeholders and representative bodies on our proposals, we published </w:t>
      </w:r>
      <w:hyperlink r:id="rId7" w:history="1">
        <w:r>
          <w:rPr>
            <w:rStyle w:val="Hyperlink"/>
          </w:rPr>
          <w:t>Work Local: Making our vision a reality</w:t>
        </w:r>
      </w:hyperlink>
      <w:r>
        <w:t xml:space="preserve">. It included a range of stakeholder voices and recommends that Work Local Pathfinders, funded through existing national budgets, should run in each region by 2022 with more to follow in 2024. We launched this at a skills plenary session at last year’s LGA annual conference. </w:t>
      </w:r>
    </w:p>
    <w:p w14:paraId="4121C599" w14:textId="77777777" w:rsidR="00021C17" w:rsidRDefault="00021C17" w:rsidP="00021C17"/>
    <w:p w14:paraId="4121C59A" w14:textId="77777777" w:rsidR="00021C17" w:rsidRDefault="00021C17" w:rsidP="00021C17">
      <w:pPr>
        <w:pStyle w:val="ListParagraph"/>
        <w:numPr>
          <w:ilvl w:val="0"/>
          <w:numId w:val="2"/>
        </w:numPr>
      </w:pPr>
      <w:r>
        <w:t xml:space="preserve">We also commissioned new </w:t>
      </w:r>
      <w:hyperlink r:id="rId8" w:history="1">
        <w:r>
          <w:rPr>
            <w:rStyle w:val="Hyperlink"/>
          </w:rPr>
          <w:t>skills gap analysis</w:t>
        </w:r>
      </w:hyperlink>
      <w:r>
        <w:t xml:space="preserve"> for England  and six local areas from the Learning and Work Institute. It set out that by 2030 skills gap predictions for the LGA by the Learning and Work Institute revealed there would be an oversupply of three million people with low and intermediate qualifications compared to jobs generated, and 2.5 million too few higher skilled workers. </w:t>
      </w:r>
    </w:p>
    <w:p w14:paraId="4121C59B" w14:textId="77777777" w:rsidR="00021C17" w:rsidRDefault="00021C17" w:rsidP="00021C17"/>
    <w:p w14:paraId="4121C59C" w14:textId="77777777" w:rsidR="00021C17" w:rsidRDefault="00021C17" w:rsidP="00021C17">
      <w:pPr>
        <w:pStyle w:val="ListParagraph"/>
        <w:numPr>
          <w:ilvl w:val="0"/>
          <w:numId w:val="2"/>
        </w:numPr>
      </w:pPr>
      <w:r>
        <w:t>Last September, the Boards asked us to enhance our employment and skills work. We have done this in the following ways.</w:t>
      </w:r>
    </w:p>
    <w:p w14:paraId="4121C59D" w14:textId="77777777" w:rsidR="00021C17" w:rsidRDefault="00021C17" w:rsidP="00021C17"/>
    <w:p w14:paraId="4121C59E" w14:textId="77777777" w:rsidR="00021C17" w:rsidRDefault="00021C17" w:rsidP="00021C17">
      <w:pPr>
        <w:pStyle w:val="ListParagraph"/>
        <w:numPr>
          <w:ilvl w:val="1"/>
          <w:numId w:val="2"/>
        </w:numPr>
        <w:ind w:left="851" w:hanging="491"/>
      </w:pPr>
      <w:r>
        <w:t xml:space="preserve">A more dedicated policy focus on young people’s participation in education, employment and training, as well as adult learning.  </w:t>
      </w:r>
    </w:p>
    <w:p w14:paraId="4121C59F" w14:textId="77777777" w:rsidR="00021C17" w:rsidRDefault="00021C17" w:rsidP="00021C17"/>
    <w:p w14:paraId="4121C5A0" w14:textId="77777777" w:rsidR="00021C17" w:rsidRDefault="00021C17" w:rsidP="00021C17">
      <w:pPr>
        <w:pStyle w:val="ListParagraph"/>
        <w:numPr>
          <w:ilvl w:val="1"/>
          <w:numId w:val="2"/>
        </w:numPr>
        <w:ind w:left="851" w:hanging="491"/>
      </w:pPr>
      <w:r>
        <w:t xml:space="preserve">Commissioned new analysis on projected low carbon jobs by local authority and by sub-sectors in 2030 and 2050. The analysis by </w:t>
      </w:r>
      <w:proofErr w:type="spellStart"/>
      <w:r>
        <w:t>Ecuity</w:t>
      </w:r>
      <w:proofErr w:type="spellEnd"/>
      <w:r>
        <w:t xml:space="preserve">, will be launched shortly. In the context of the current COVID-19 crisis, it will be helpful for local and combined authorities to support recovery plans and the need for more influence on skills.  </w:t>
      </w:r>
    </w:p>
    <w:p w14:paraId="4121C5A1" w14:textId="77777777" w:rsidR="00021C17" w:rsidRDefault="00021C17" w:rsidP="00021C17"/>
    <w:p w14:paraId="4121C5A2" w14:textId="77777777" w:rsidR="00021C17" w:rsidRDefault="00021C17" w:rsidP="00021C17">
      <w:pPr>
        <w:pStyle w:val="ListParagraph"/>
        <w:numPr>
          <w:ilvl w:val="0"/>
          <w:numId w:val="2"/>
        </w:numPr>
      </w:pPr>
      <w:r>
        <w:t>Alongside our policy work, we have started to develop improvement support on employment and skills. These include:</w:t>
      </w:r>
    </w:p>
    <w:p w14:paraId="4121C5A3" w14:textId="77777777" w:rsidR="00021C17" w:rsidRDefault="00021C17" w:rsidP="00021C17"/>
    <w:p w14:paraId="4121C5A4" w14:textId="77777777" w:rsidR="00021C17" w:rsidRDefault="00021C17" w:rsidP="00021C17">
      <w:pPr>
        <w:pStyle w:val="ListParagraph"/>
        <w:numPr>
          <w:ilvl w:val="1"/>
          <w:numId w:val="2"/>
        </w:numPr>
        <w:ind w:left="851" w:hanging="491"/>
      </w:pPr>
      <w:r>
        <w:t xml:space="preserve">An improvement support project on place-based employment and skills commissioning delivered by Shared Intelligence to support eight local / combined authorities’ work with partners to address skills and employability challenges and opportunities. Areas involved were Bristol, Essex, Haringey, Nottinghamshire, Reading, South </w:t>
      </w:r>
      <w:proofErr w:type="spellStart"/>
      <w:r>
        <w:t>Ribble</w:t>
      </w:r>
      <w:proofErr w:type="spellEnd"/>
      <w:r>
        <w:t>. Surrey, and West Yorkshire CA. Report findings will be launched in coming weeks. As Covid-19 makes collaboration essential, further improvement support may be suggested to support the sector and partners.</w:t>
      </w:r>
    </w:p>
    <w:p w14:paraId="4121C5A5" w14:textId="77777777" w:rsidR="00021C17" w:rsidRDefault="00021C17" w:rsidP="00021C17">
      <w:pPr>
        <w:pStyle w:val="ListParagraph"/>
        <w:numPr>
          <w:ilvl w:val="0"/>
          <w:numId w:val="0"/>
        </w:numPr>
        <w:ind w:left="851"/>
      </w:pPr>
    </w:p>
    <w:p w14:paraId="4121C5A6" w14:textId="77777777" w:rsidR="00021C17" w:rsidRDefault="00021C17" w:rsidP="00021C17">
      <w:pPr>
        <w:pStyle w:val="ListParagraph"/>
        <w:numPr>
          <w:ilvl w:val="1"/>
          <w:numId w:val="2"/>
        </w:numPr>
        <w:ind w:left="851" w:hanging="491"/>
      </w:pPr>
      <w:r>
        <w:t xml:space="preserve">A case study report by the Learning and Work Institute highlighting the evolving skills and employment role of combined authorities. The learning from this project will be useful to all parts of the sector.  </w:t>
      </w:r>
    </w:p>
    <w:p w14:paraId="4121C5A7" w14:textId="77777777" w:rsidR="00021C17" w:rsidRDefault="00021C17" w:rsidP="00021C17">
      <w:pPr>
        <w:pStyle w:val="ListParagraph"/>
        <w:numPr>
          <w:ilvl w:val="0"/>
          <w:numId w:val="0"/>
        </w:numPr>
        <w:ind w:left="360"/>
      </w:pPr>
    </w:p>
    <w:p w14:paraId="4121C5A8" w14:textId="77777777" w:rsidR="00021C17" w:rsidRDefault="00021C17" w:rsidP="00021C17">
      <w:pPr>
        <w:pStyle w:val="ListParagraph"/>
        <w:numPr>
          <w:ilvl w:val="1"/>
          <w:numId w:val="2"/>
        </w:numPr>
        <w:ind w:left="851" w:hanging="491"/>
      </w:pPr>
      <w:r>
        <w:t>A councillor's guide to council run adult and community education which includes top tips and case studies from a wide range of councils and combined authorities.</w:t>
      </w:r>
    </w:p>
    <w:p w14:paraId="4121C5A9" w14:textId="77777777" w:rsidR="00021C17" w:rsidRDefault="00021C17" w:rsidP="00021C17"/>
    <w:p w14:paraId="4121C5AA" w14:textId="77777777" w:rsidR="00021C17" w:rsidRDefault="00021C17" w:rsidP="00021C17">
      <w:pPr>
        <w:pStyle w:val="ListParagraph"/>
        <w:numPr>
          <w:ilvl w:val="0"/>
          <w:numId w:val="2"/>
        </w:numPr>
      </w:pPr>
      <w:r>
        <w:t>As the Government draws up a jobs and skills recovery plan to address the Covid-19 crisis, local government will need to be part of it. Over the coming months, the Boards will play a key role in steering this work. In June we will bring forward reports evidencing the excellent work of the sector pre COVID with a view to publishing them. Boards may want to consider commissioning further activity to continue to promote and support the sector in this space.  </w:t>
      </w:r>
    </w:p>
    <w:p w14:paraId="4121C5AB" w14:textId="77777777" w:rsidR="00021C17" w:rsidRDefault="00021C17" w:rsidP="00021C17">
      <w:pPr>
        <w:pStyle w:val="ListParagraph"/>
        <w:numPr>
          <w:ilvl w:val="0"/>
          <w:numId w:val="0"/>
        </w:numPr>
        <w:ind w:left="360"/>
      </w:pPr>
    </w:p>
    <w:p w14:paraId="4121C5AC" w14:textId="77777777" w:rsidR="00021C17" w:rsidRDefault="00021C17" w:rsidP="00021C17">
      <w:pPr>
        <w:rPr>
          <w:rFonts w:eastAsia="Times New Roman"/>
          <w:b/>
          <w:bCs/>
          <w:lang w:eastAsia="en-GB"/>
        </w:rPr>
      </w:pPr>
      <w:r>
        <w:rPr>
          <w:rFonts w:eastAsia="Times New Roman"/>
          <w:b/>
          <w:bCs/>
          <w:lang w:eastAsia="en-GB"/>
        </w:rPr>
        <w:t>Programme of work and priorities</w:t>
      </w:r>
    </w:p>
    <w:p w14:paraId="4121C5AD" w14:textId="77777777" w:rsidR="00021C17" w:rsidRDefault="00021C17" w:rsidP="00021C17">
      <w:pPr>
        <w:rPr>
          <w:rFonts w:eastAsia="Times New Roman"/>
          <w:b/>
          <w:bCs/>
          <w:lang w:eastAsia="en-GB"/>
        </w:rPr>
      </w:pPr>
    </w:p>
    <w:p w14:paraId="4121C5AE" w14:textId="77777777" w:rsidR="00021C17" w:rsidRDefault="00021C17" w:rsidP="00021C17">
      <w:pPr>
        <w:pStyle w:val="ListParagraph"/>
        <w:numPr>
          <w:ilvl w:val="0"/>
          <w:numId w:val="2"/>
        </w:numPr>
        <w:rPr>
          <w:rStyle w:val="ReportTemplate"/>
        </w:rPr>
      </w:pPr>
      <w:r>
        <w:rPr>
          <w:rStyle w:val="ReportTemplate"/>
        </w:rPr>
        <w:t xml:space="preserve">Within the context of COVID-19 and the forthcoming English devolution white paper the board will pursue a programme of engagement with Government and rural stakeholders to ensure councils in non-metropolitan England have the powers and resources to lead a successful and sustainable recovery and drive improved outcomes for their communities. </w:t>
      </w:r>
    </w:p>
    <w:p w14:paraId="4121C5AF" w14:textId="77777777" w:rsidR="00021C17" w:rsidRDefault="00021C17" w:rsidP="00021C17">
      <w:pPr>
        <w:pStyle w:val="ListParagraph"/>
        <w:numPr>
          <w:ilvl w:val="0"/>
          <w:numId w:val="0"/>
        </w:numPr>
        <w:ind w:left="360"/>
        <w:rPr>
          <w:rStyle w:val="ReportTemplate"/>
        </w:rPr>
      </w:pPr>
    </w:p>
    <w:p w14:paraId="4121C5B0" w14:textId="77777777" w:rsidR="00021C17" w:rsidRDefault="00021C17" w:rsidP="00021C17">
      <w:pPr>
        <w:pStyle w:val="ListParagraph"/>
        <w:numPr>
          <w:ilvl w:val="0"/>
          <w:numId w:val="2"/>
        </w:numPr>
        <w:rPr>
          <w:rStyle w:val="ReportTemplate"/>
        </w:rPr>
      </w:pPr>
      <w:r>
        <w:rPr>
          <w:rStyle w:val="ReportTemplate"/>
        </w:rPr>
        <w:t>The Board will continue to take forward the LGA’s lobbying work on skills, making the case for the Work Local model and continuing to engage with key stakeholders. The Board may want officers to focus on the role employment and skills will play in the Government’s recovery plans.</w:t>
      </w:r>
    </w:p>
    <w:p w14:paraId="4121C5B1" w14:textId="77777777" w:rsidR="00021C17" w:rsidRDefault="00021C17" w:rsidP="00021C17">
      <w:pPr>
        <w:pStyle w:val="ListParagraph"/>
        <w:numPr>
          <w:ilvl w:val="0"/>
          <w:numId w:val="0"/>
        </w:numPr>
        <w:ind w:left="360"/>
        <w:rPr>
          <w:rStyle w:val="ReportTemplate"/>
        </w:rPr>
      </w:pPr>
    </w:p>
    <w:p w14:paraId="4121C5B2" w14:textId="77777777" w:rsidR="00021C17" w:rsidRDefault="00021C17" w:rsidP="00021C17">
      <w:pPr>
        <w:pStyle w:val="ListParagraph"/>
        <w:numPr>
          <w:ilvl w:val="0"/>
          <w:numId w:val="2"/>
        </w:numPr>
        <w:rPr>
          <w:rStyle w:val="ReportTemplate"/>
        </w:rPr>
      </w:pPr>
      <w:r>
        <w:rPr>
          <w:rStyle w:val="ReportTemplate"/>
        </w:rPr>
        <w:t>The Board will continue to play a leading role in driving forward the digital connectivity agenda.</w:t>
      </w:r>
    </w:p>
    <w:p w14:paraId="4121C5B3" w14:textId="77777777" w:rsidR="00021C17" w:rsidRDefault="00021C17" w:rsidP="00021C17">
      <w:pPr>
        <w:pStyle w:val="ListParagraph"/>
        <w:numPr>
          <w:ilvl w:val="0"/>
          <w:numId w:val="0"/>
        </w:numPr>
        <w:ind w:left="360"/>
        <w:rPr>
          <w:rStyle w:val="ReportTemplate"/>
        </w:rPr>
      </w:pPr>
    </w:p>
    <w:p w14:paraId="40519542" w14:textId="1B2A75A6" w:rsidR="00384457" w:rsidRDefault="00021C17" w:rsidP="00384457">
      <w:pPr>
        <w:pStyle w:val="ListParagraph"/>
        <w:numPr>
          <w:ilvl w:val="0"/>
          <w:numId w:val="2"/>
        </w:numPr>
        <w:rPr>
          <w:rStyle w:val="ReportTemplate"/>
        </w:rPr>
      </w:pPr>
      <w:r>
        <w:rPr>
          <w:rStyle w:val="ReportTemplate"/>
        </w:rPr>
        <w:t>The Board will seek to ensure the key elements of place-based growth – Rural Land Management, the UK Shared Prosperity Fund, trade and investment fit with the priorities and ambitions of non-metropolitan authorities.</w:t>
      </w:r>
    </w:p>
    <w:p w14:paraId="078D1DF7" w14:textId="77777777" w:rsidR="00384457" w:rsidRDefault="00384457" w:rsidP="00021C17">
      <w:pPr>
        <w:rPr>
          <w:rStyle w:val="Title2"/>
        </w:rPr>
      </w:pPr>
    </w:p>
    <w:p w14:paraId="4121C5B6" w14:textId="46F030CE" w:rsidR="00021C17" w:rsidRDefault="00021C17" w:rsidP="00021C17">
      <w:pPr>
        <w:rPr>
          <w:rStyle w:val="Title2"/>
        </w:rPr>
      </w:pPr>
      <w:bookmarkStart w:id="0" w:name="_GoBack"/>
      <w:bookmarkEnd w:id="0"/>
      <w:r>
        <w:rPr>
          <w:rStyle w:val="Title2"/>
        </w:rPr>
        <w:t>Next Steps</w:t>
      </w:r>
    </w:p>
    <w:p w14:paraId="4121C5B7" w14:textId="77777777" w:rsidR="00021C17" w:rsidRDefault="00021C17" w:rsidP="00021C17">
      <w:pPr>
        <w:rPr>
          <w:rStyle w:val="Title2"/>
        </w:rPr>
      </w:pPr>
    </w:p>
    <w:p w14:paraId="4121C5B8" w14:textId="77777777" w:rsidR="00021C17" w:rsidRDefault="00021C17" w:rsidP="00021C17">
      <w:pPr>
        <w:pStyle w:val="ListParagraph"/>
        <w:numPr>
          <w:ilvl w:val="0"/>
          <w:numId w:val="2"/>
        </w:numPr>
        <w:rPr>
          <w:rStyle w:val="Title2"/>
          <w:rFonts w:cstheme="minorBidi"/>
          <w:b w:val="0"/>
        </w:rPr>
      </w:pPr>
      <w:r>
        <w:rPr>
          <w:rFonts w:eastAsiaTheme="minorEastAsia"/>
          <w:lang w:eastAsia="ja-JP"/>
        </w:rPr>
        <w:t>Officers to take forward actions as appropriate to draft a work program for the board.</w:t>
      </w:r>
    </w:p>
    <w:p w14:paraId="4121C5B9" w14:textId="77777777" w:rsidR="001F5A2E" w:rsidRDefault="001F5A2E"/>
    <w:sectPr w:rsidR="001F5A2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DF71E" w14:textId="77777777" w:rsidR="00E9148E" w:rsidRDefault="00E9148E" w:rsidP="00E9148E">
      <w:r>
        <w:separator/>
      </w:r>
    </w:p>
  </w:endnote>
  <w:endnote w:type="continuationSeparator" w:id="0">
    <w:p w14:paraId="6684348F" w14:textId="77777777" w:rsidR="00E9148E" w:rsidRDefault="00E9148E" w:rsidP="00E9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BDACD" w14:textId="77777777" w:rsidR="00E9148E" w:rsidRDefault="00E9148E" w:rsidP="00E9148E">
      <w:r>
        <w:separator/>
      </w:r>
    </w:p>
  </w:footnote>
  <w:footnote w:type="continuationSeparator" w:id="0">
    <w:p w14:paraId="577D24AA" w14:textId="77777777" w:rsidR="00E9148E" w:rsidRDefault="00E9148E" w:rsidP="00E91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BE30D" w14:textId="586BB263" w:rsidR="00E9148E" w:rsidRDefault="00E9148E" w:rsidP="00E9148E">
    <w:pPr>
      <w:pStyle w:val="Header"/>
    </w:pPr>
  </w:p>
  <w:tbl>
    <w:tblPr>
      <w:tblW w:w="0" w:type="auto"/>
      <w:tblLook w:val="01E0" w:firstRow="1" w:lastRow="1" w:firstColumn="1" w:lastColumn="1" w:noHBand="0" w:noVBand="0"/>
    </w:tblPr>
    <w:tblGrid>
      <w:gridCol w:w="5824"/>
      <w:gridCol w:w="3202"/>
    </w:tblGrid>
    <w:tr w:rsidR="00E9148E" w:rsidRPr="004F266E" w14:paraId="0EFFC5FB" w14:textId="77777777" w:rsidTr="00545E84">
      <w:trPr>
        <w:trHeight w:val="568"/>
      </w:trPr>
      <w:tc>
        <w:tcPr>
          <w:tcW w:w="5824" w:type="dxa"/>
          <w:vMerge w:val="restart"/>
          <w:shd w:val="clear" w:color="auto" w:fill="auto"/>
        </w:tcPr>
        <w:p w14:paraId="5AD2534C" w14:textId="77777777" w:rsidR="00E9148E" w:rsidRPr="00374227" w:rsidRDefault="00E9148E" w:rsidP="00E9148E">
          <w:pPr>
            <w:pStyle w:val="Header"/>
            <w:tabs>
              <w:tab w:val="center" w:pos="2923"/>
            </w:tabs>
          </w:pPr>
          <w:r>
            <w:rPr>
              <w:noProof/>
              <w:lang w:eastAsia="en-GB"/>
            </w:rPr>
            <w:drawing>
              <wp:inline distT="0" distB="0" distL="0" distR="0" wp14:anchorId="1AE50213" wp14:editId="5E8D4387">
                <wp:extent cx="1428750" cy="847725"/>
                <wp:effectExtent l="0" t="0" r="0" b="9525"/>
                <wp:docPr id="1165979704"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02" w:type="dxa"/>
          <w:shd w:val="clear" w:color="auto" w:fill="auto"/>
          <w:vAlign w:val="center"/>
        </w:tcPr>
        <w:p w14:paraId="51D261D3" w14:textId="77777777" w:rsidR="00E9148E" w:rsidRPr="00374227" w:rsidRDefault="00E9148E" w:rsidP="00E9148E">
          <w:pPr>
            <w:pStyle w:val="Header"/>
            <w:rPr>
              <w:rFonts w:cs="Arial"/>
              <w:b/>
            </w:rPr>
          </w:pPr>
          <w:r>
            <w:rPr>
              <w:rFonts w:cs="Arial"/>
              <w:b/>
            </w:rPr>
            <w:t>Executive Advisory Board</w:t>
          </w:r>
        </w:p>
      </w:tc>
    </w:tr>
    <w:tr w:rsidR="00E9148E" w14:paraId="3B6523AC" w14:textId="77777777" w:rsidTr="00545E84">
      <w:trPr>
        <w:trHeight w:val="450"/>
      </w:trPr>
      <w:tc>
        <w:tcPr>
          <w:tcW w:w="5824" w:type="dxa"/>
          <w:vMerge/>
        </w:tcPr>
        <w:p w14:paraId="055AD7FF" w14:textId="77777777" w:rsidR="00E9148E" w:rsidRPr="00374227" w:rsidRDefault="00E9148E" w:rsidP="00E9148E">
          <w:pPr>
            <w:pStyle w:val="Header"/>
          </w:pPr>
        </w:p>
      </w:tc>
      <w:tc>
        <w:tcPr>
          <w:tcW w:w="3202" w:type="dxa"/>
          <w:shd w:val="clear" w:color="auto" w:fill="auto"/>
          <w:vAlign w:val="center"/>
        </w:tcPr>
        <w:p w14:paraId="091D12C1" w14:textId="77777777" w:rsidR="00E9148E" w:rsidRPr="00374227" w:rsidRDefault="00E9148E" w:rsidP="00E9148E">
          <w:pPr>
            <w:pStyle w:val="Header"/>
            <w:spacing w:before="60"/>
            <w:rPr>
              <w:rFonts w:cs="Arial"/>
            </w:rPr>
          </w:pPr>
          <w:r>
            <w:rPr>
              <w:rFonts w:cs="Arial"/>
            </w:rPr>
            <w:t>16 July 2020</w:t>
          </w:r>
        </w:p>
      </w:tc>
    </w:tr>
  </w:tbl>
  <w:p w14:paraId="321641BF" w14:textId="77777777" w:rsidR="00E9148E" w:rsidRDefault="00E9148E" w:rsidP="00E9148E">
    <w:pPr>
      <w:pStyle w:val="Header"/>
      <w:rPr>
        <w:rFonts w:eastAsia="Arial" w:cs="Arial"/>
      </w:rPr>
    </w:pPr>
  </w:p>
  <w:p w14:paraId="3FEB4EEA" w14:textId="77777777" w:rsidR="00E9148E" w:rsidRDefault="00E91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3965B9"/>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C3"/>
    <w:rsid w:val="00021C17"/>
    <w:rsid w:val="001F5A2E"/>
    <w:rsid w:val="00384457"/>
    <w:rsid w:val="00D416C3"/>
    <w:rsid w:val="00E91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C55C"/>
  <w15:chartTrackingRefBased/>
  <w15:docId w15:val="{B9A49D12-330B-4BA0-95C1-55CCDE55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1C17"/>
    <w:pPr>
      <w:spacing w:after="0" w:line="240"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C17"/>
    <w:rPr>
      <w:color w:val="0563C1"/>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021C17"/>
    <w:rPr>
      <w:rFonts w:ascii="Arial" w:hAnsi="Arial" w:cs="Arial"/>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021C17"/>
    <w:pPr>
      <w:numPr>
        <w:numId w:val="1"/>
      </w:numPr>
      <w:contextualSpacing/>
    </w:pPr>
    <w:rPr>
      <w:rFonts w:cs="Arial"/>
    </w:rPr>
  </w:style>
  <w:style w:type="character" w:customStyle="1" w:styleId="Title1Char">
    <w:name w:val="Title 1 Char"/>
    <w:basedOn w:val="DefaultParagraphFont"/>
    <w:link w:val="Title1"/>
    <w:locked/>
    <w:rsid w:val="00021C17"/>
    <w:rPr>
      <w:rFonts w:ascii="Arial" w:hAnsi="Arial" w:cs="Arial"/>
      <w:b/>
      <w:sz w:val="28"/>
    </w:rPr>
  </w:style>
  <w:style w:type="paragraph" w:customStyle="1" w:styleId="Title1">
    <w:name w:val="Title 1"/>
    <w:basedOn w:val="Normal"/>
    <w:link w:val="Title1Char"/>
    <w:qFormat/>
    <w:rsid w:val="00021C17"/>
    <w:rPr>
      <w:rFonts w:cs="Arial"/>
      <w:b/>
      <w:sz w:val="28"/>
    </w:rPr>
  </w:style>
  <w:style w:type="character" w:customStyle="1" w:styleId="Title2">
    <w:name w:val="Title 2"/>
    <w:basedOn w:val="DefaultParagraphFont"/>
    <w:uiPriority w:val="1"/>
    <w:qFormat/>
    <w:rsid w:val="00021C17"/>
    <w:rPr>
      <w:rFonts w:ascii="Arial" w:hAnsi="Arial" w:cs="Arial" w:hint="default"/>
      <w:b/>
      <w:bCs w:val="0"/>
      <w:sz w:val="24"/>
    </w:rPr>
  </w:style>
  <w:style w:type="character" w:customStyle="1" w:styleId="ReportTemplate">
    <w:name w:val="Report Template"/>
    <w:uiPriority w:val="1"/>
    <w:qFormat/>
    <w:rsid w:val="00021C17"/>
  </w:style>
  <w:style w:type="paragraph" w:styleId="Header">
    <w:name w:val="header"/>
    <w:basedOn w:val="Normal"/>
    <w:link w:val="HeaderChar"/>
    <w:unhideWhenUsed/>
    <w:rsid w:val="00E9148E"/>
    <w:pPr>
      <w:tabs>
        <w:tab w:val="center" w:pos="4513"/>
        <w:tab w:val="right" w:pos="9026"/>
      </w:tabs>
    </w:pPr>
  </w:style>
  <w:style w:type="character" w:customStyle="1" w:styleId="HeaderChar">
    <w:name w:val="Header Char"/>
    <w:basedOn w:val="DefaultParagraphFont"/>
    <w:link w:val="Header"/>
    <w:rsid w:val="00E9148E"/>
    <w:rPr>
      <w:rFonts w:ascii="Arial" w:hAnsi="Arial"/>
    </w:rPr>
  </w:style>
  <w:style w:type="paragraph" w:styleId="Footer">
    <w:name w:val="footer"/>
    <w:basedOn w:val="Normal"/>
    <w:link w:val="FooterChar"/>
    <w:uiPriority w:val="99"/>
    <w:unhideWhenUsed/>
    <w:rsid w:val="00E9148E"/>
    <w:pPr>
      <w:tabs>
        <w:tab w:val="center" w:pos="4513"/>
        <w:tab w:val="right" w:pos="9026"/>
      </w:tabs>
    </w:pPr>
  </w:style>
  <w:style w:type="character" w:customStyle="1" w:styleId="FooterChar">
    <w:name w:val="Footer Char"/>
    <w:basedOn w:val="DefaultParagraphFont"/>
    <w:link w:val="Footer"/>
    <w:uiPriority w:val="99"/>
    <w:rsid w:val="00E9148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6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gov.uk/centralised-skills-system-could-leave-six-million-people-behind-2030" TargetMode="External"/><Relationship Id="rId3" Type="http://schemas.openxmlformats.org/officeDocument/2006/relationships/settings" Target="settings.xml"/><Relationship Id="rId7" Type="http://schemas.openxmlformats.org/officeDocument/2006/relationships/hyperlink" Target="https://www.local.gov.uk/sites/default/files/documents/5.58%20Work%20Local_making%20our%20vision%20a%20reality_v07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1671</Words>
  <Characters>9528</Characters>
  <Application>Microsoft Office Word</Application>
  <DocSecurity>0</DocSecurity>
  <Lines>79</Lines>
  <Paragraphs>22</Paragraphs>
  <ScaleCrop>false</ScaleCrop>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Jonathan Bryant</cp:lastModifiedBy>
  <cp:revision>4</cp:revision>
  <dcterms:created xsi:type="dcterms:W3CDTF">2020-07-07T10:35:00Z</dcterms:created>
  <dcterms:modified xsi:type="dcterms:W3CDTF">2020-07-08T15:18:00Z</dcterms:modified>
</cp:coreProperties>
</file>